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3700"/>
        <w:gridCol w:w="6406"/>
      </w:tblGrid>
      <w:tr w:rsidR="00730421" w:rsidRPr="00E874C2" w:rsidTr="00712DCD">
        <w:trPr>
          <w:trHeight w:val="556"/>
        </w:trPr>
        <w:tc>
          <w:tcPr>
            <w:tcW w:w="3700" w:type="dxa"/>
            <w:vMerge w:val="restart"/>
          </w:tcPr>
          <w:p w:rsidR="00730421" w:rsidRPr="00E874C2" w:rsidRDefault="00B33B12" w:rsidP="005F54CF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050131" cy="1086197"/>
                  <wp:effectExtent l="19050" t="0" r="0" b="0"/>
                  <wp:docPr id="2" name="Picture 8" descr="C:\Users\Shahid\AppData\Local\Microsoft\Windows\INetCache\Content.Word\downloa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ahid\AppData\Local\Microsoft\Windows\INetCache\Content.Word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-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31" cy="108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475"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1252855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712DCD">
            <w:pP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714CF7">
        <w:trPr>
          <w:trHeight w:val="1343"/>
        </w:trPr>
        <w:tc>
          <w:tcPr>
            <w:tcW w:w="3700" w:type="dxa"/>
            <w:vMerge/>
          </w:tcPr>
          <w:p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5B68BE" w:rsidP="00DA3475">
            <w:pPr>
              <w:spacing w:after="0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College</w:t>
            </w:r>
            <w:r w:rsidR="003B0E33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 of Law</w:t>
            </w:r>
          </w:p>
          <w:p w:rsidR="00730421" w:rsidRPr="00E874C2" w:rsidRDefault="00730421" w:rsidP="00DA347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3B0E3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3B0E33">
              <w:rPr>
                <w:rFonts w:ascii="Times New Roman" w:hAnsi="Times New Roman"/>
              </w:rPr>
              <w:t>Spring</w:t>
            </w:r>
            <w:r w:rsidR="007A79DB" w:rsidRPr="00E874C2">
              <w:rPr>
                <w:rFonts w:ascii="Times New Roman" w:hAnsi="Times New Roman"/>
              </w:rPr>
              <w:t xml:space="preserve"> semester 202</w:t>
            </w:r>
            <w:r w:rsidR="003B0E33">
              <w:rPr>
                <w:rFonts w:ascii="Times New Roman" w:hAnsi="Times New Roman"/>
              </w:rPr>
              <w:t>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3094"/>
        <w:gridCol w:w="779"/>
        <w:gridCol w:w="1934"/>
        <w:gridCol w:w="3646"/>
      </w:tblGrid>
      <w:tr w:rsidR="00730421" w:rsidRPr="00E874C2" w:rsidTr="00712DCD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55493E">
        <w:trPr>
          <w:trHeight w:val="1601"/>
        </w:trPr>
        <w:tc>
          <w:tcPr>
            <w:tcW w:w="627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730421" w:rsidRPr="00E874C2" w:rsidRDefault="00AB53C7" w:rsidP="00AB53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 w:rsidR="00730421" w:rsidRPr="00E874C2">
              <w:rPr>
                <w:rFonts w:ascii="Times New Roman" w:hAnsi="Times New Roman"/>
                <w:b/>
                <w:sz w:val="20"/>
                <w:szCs w:val="20"/>
              </w:rPr>
              <w:t>Lecturers</w:t>
            </w:r>
          </w:p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730421" w:rsidRDefault="00FA4B1C" w:rsidP="00AB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3B0E33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050A47" w:rsidRPr="00050A47">
              <w:rPr>
                <w:rFonts w:ascii="Times New Roman" w:hAnsi="Times New Roman"/>
                <w:b/>
                <w:sz w:val="26"/>
                <w:szCs w:val="26"/>
              </w:rPr>
              <w:t>*</w:t>
            </w:r>
          </w:p>
          <w:p w:rsidR="00050A47" w:rsidRPr="00050A47" w:rsidRDefault="00050A47" w:rsidP="00AB53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3B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E874C2" w:rsidRPr="00E874C2">
              <w:rPr>
                <w:rFonts w:ascii="Times New Roman" w:hAnsi="Times New Roman"/>
              </w:rPr>
              <w:t xml:space="preserve">for </w:t>
            </w:r>
            <w:r w:rsidR="003B0E33">
              <w:rPr>
                <w:rFonts w:ascii="Times New Roman" w:hAnsi="Times New Roman"/>
              </w:rPr>
              <w:t>Spring</w:t>
            </w:r>
            <w:r w:rsidR="00E874C2" w:rsidRPr="00E874C2">
              <w:rPr>
                <w:rFonts w:ascii="Times New Roman" w:hAnsi="Times New Roman"/>
              </w:rPr>
              <w:t xml:space="preserve"> semester 202</w:t>
            </w:r>
            <w:r w:rsidR="003B0E33">
              <w:rPr>
                <w:rFonts w:ascii="Times New Roman" w:hAnsi="Times New Roman"/>
              </w:rPr>
              <w:t>1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</w:tcPr>
          <w:p w:rsidR="00730421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C15D91" w:rsidRDefault="00E918BA" w:rsidP="005549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LLB</w:t>
            </w:r>
            <w:r w:rsidR="00053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having 05 Years standing as Advocate of High Court</w:t>
            </w:r>
            <w:r w:rsidR="002011E5">
              <w:rPr>
                <w:rFonts w:ascii="Times New Roman" w:hAnsi="Times New Roman"/>
                <w:sz w:val="20"/>
                <w:szCs w:val="20"/>
              </w:rPr>
              <w:t xml:space="preserve"> (Criteria settled by Supreme Court in Constitution Petition No. 134/2012 dated 13-12-2018).</w:t>
            </w:r>
          </w:p>
          <w:p w:rsidR="00EB4FE5" w:rsidRPr="0055493E" w:rsidRDefault="00EB4FE5" w:rsidP="003B0E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Preference will be given to LLM.</w:t>
            </w:r>
          </w:p>
        </w:tc>
      </w:tr>
      <w:tr w:rsidR="00730421" w:rsidRPr="00E874C2" w:rsidTr="00236D70">
        <w:trPr>
          <w:trHeight w:val="310"/>
        </w:trPr>
        <w:tc>
          <w:tcPr>
            <w:tcW w:w="3721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79" w:type="dxa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236D70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EA6F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As per university policy, the </w:t>
            </w:r>
            <w:r w:rsidR="007D70E8">
              <w:rPr>
                <w:rFonts w:ascii="Times New Roman" w:hAnsi="Times New Roman"/>
                <w:bCs/>
              </w:rPr>
              <w:t>College of Law</w:t>
            </w:r>
            <w:r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730421" w:rsidRPr="00DA1638" w:rsidRDefault="00730421" w:rsidP="005A6E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>
              <w:rPr>
                <w:rFonts w:ascii="Times New Roman" w:hAnsi="Times New Roman"/>
                <w:bCs/>
              </w:rPr>
              <w:t xml:space="preserve">latest </w:t>
            </w:r>
            <w:r w:rsidRPr="00E874C2">
              <w:rPr>
                <w:rFonts w:ascii="Times New Roman" w:hAnsi="Times New Roman"/>
                <w:bCs/>
              </w:rPr>
              <w:t>C.V</w:t>
            </w:r>
            <w:r w:rsidR="000D28B3">
              <w:rPr>
                <w:rFonts w:ascii="Times New Roman" w:hAnsi="Times New Roman"/>
                <w:bCs/>
              </w:rPr>
              <w:t xml:space="preserve">, </w:t>
            </w:r>
            <w:r w:rsidR="001A1DD0">
              <w:rPr>
                <w:rFonts w:ascii="Times New Roman" w:hAnsi="Times New Roman"/>
                <w:bCs/>
              </w:rPr>
              <w:t>License</w:t>
            </w:r>
            <w:r w:rsidR="000D28B3">
              <w:rPr>
                <w:rFonts w:ascii="Times New Roman" w:hAnsi="Times New Roman"/>
                <w:bCs/>
              </w:rPr>
              <w:t xml:space="preserve"> of High Court, two latest Passport Size Pictures</w:t>
            </w:r>
            <w:r w:rsidRPr="00E874C2">
              <w:rPr>
                <w:rFonts w:ascii="Times New Roman" w:hAnsi="Times New Roman"/>
                <w:bCs/>
              </w:rPr>
              <w:t xml:space="preserve"> and attested cop</w:t>
            </w:r>
            <w:r w:rsidR="00DA1638">
              <w:rPr>
                <w:rFonts w:ascii="Times New Roman" w:hAnsi="Times New Roman"/>
                <w:bCs/>
              </w:rPr>
              <w:t xml:space="preserve">ies of </w:t>
            </w:r>
            <w:r w:rsidR="005A6E5B">
              <w:rPr>
                <w:rFonts w:ascii="Times New Roman" w:hAnsi="Times New Roman"/>
                <w:bCs/>
              </w:rPr>
              <w:t xml:space="preserve">all </w:t>
            </w:r>
            <w:r w:rsidR="00DA1638">
              <w:rPr>
                <w:rFonts w:ascii="Times New Roman" w:hAnsi="Times New Roman"/>
                <w:bCs/>
              </w:rPr>
              <w:t xml:space="preserve">testimonial </w:t>
            </w:r>
            <w:r w:rsidR="005A6E5B">
              <w:rPr>
                <w:rFonts w:ascii="Times New Roman" w:hAnsi="Times New Roman"/>
                <w:bCs/>
              </w:rPr>
              <w:t xml:space="preserve">documents </w:t>
            </w:r>
            <w:r w:rsidR="00DA1638">
              <w:rPr>
                <w:rFonts w:ascii="Times New Roman" w:hAnsi="Times New Roman"/>
                <w:bCs/>
              </w:rPr>
              <w:t xml:space="preserve">along with </w:t>
            </w:r>
            <w:r w:rsidRPr="00DA1638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5A6E5B">
              <w:rPr>
                <w:rFonts w:ascii="Times New Roman" w:hAnsi="Times New Roman"/>
                <w:bCs/>
              </w:rPr>
              <w:t xml:space="preserve">Admin Office of </w:t>
            </w:r>
            <w:r w:rsidR="007D70E8">
              <w:rPr>
                <w:rFonts w:ascii="Times New Roman" w:hAnsi="Times New Roman"/>
                <w:bCs/>
              </w:rPr>
              <w:t>College of Law</w:t>
            </w:r>
            <w:r w:rsidR="006D5E7D">
              <w:rPr>
                <w:rFonts w:ascii="Times New Roman" w:hAnsi="Times New Roman"/>
                <w:bCs/>
              </w:rPr>
              <w:t>, University of Sargodha</w:t>
            </w:r>
            <w:r w:rsidRPr="00DA1638">
              <w:rPr>
                <w:rFonts w:ascii="Times New Roman" w:hAnsi="Times New Roman"/>
                <w:bCs/>
              </w:rPr>
              <w:t>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4F6BDC" w:rsidRPr="00E874C2" w:rsidRDefault="00730421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(https://www .uos.edu .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pk</w:t>
            </w:r>
            <w:proofErr w:type="spellEnd"/>
            <w:r w:rsidRPr="00E874C2">
              <w:rPr>
                <w:rFonts w:ascii="Times New Roman" w:hAnsi="Times New Roman"/>
                <w:bCs/>
              </w:rPr>
              <w:t>/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adminForms</w:t>
            </w:r>
            <w:proofErr w:type="spellEnd"/>
            <w:r w:rsidRPr="00E874C2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247F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7D70E8">
              <w:rPr>
                <w:rFonts w:ascii="Times New Roman" w:hAnsi="Times New Roman"/>
                <w:bCs/>
              </w:rPr>
              <w:t>College of Law</w:t>
            </w:r>
            <w:r w:rsidR="00A400AD"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>on or before</w:t>
            </w:r>
            <w:r w:rsidR="008A3498">
              <w:rPr>
                <w:rFonts w:ascii="Times New Roman" w:hAnsi="Times New Roman"/>
                <w:bCs/>
              </w:rPr>
              <w:t xml:space="preserve"> </w:t>
            </w:r>
            <w:r w:rsidR="00BD4F27">
              <w:rPr>
                <w:rFonts w:ascii="Times New Roman" w:hAnsi="Times New Roman"/>
                <w:b/>
                <w:bCs/>
              </w:rPr>
              <w:t>1</w:t>
            </w:r>
            <w:r w:rsidR="00247FD8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 w:rsidR="00BD4F27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 w:rsidR="00BD4F27">
              <w:rPr>
                <w:rFonts w:ascii="Times New Roman" w:hAnsi="Times New Roman"/>
                <w:b/>
                <w:bCs/>
              </w:rPr>
              <w:t>21</w:t>
            </w:r>
            <w:r w:rsidR="008A3498">
              <w:rPr>
                <w:rFonts w:ascii="Times New Roman" w:hAnsi="Times New Roman"/>
                <w:b/>
                <w:bCs/>
              </w:rPr>
              <w:t xml:space="preserve"> (</w:t>
            </w:r>
            <w:r w:rsidR="00247FD8">
              <w:rPr>
                <w:rFonts w:ascii="Times New Roman" w:hAnsi="Times New Roman"/>
                <w:b/>
                <w:bCs/>
              </w:rPr>
              <w:t>Friday</w:t>
            </w:r>
            <w:r w:rsidR="008A3498">
              <w:rPr>
                <w:rFonts w:ascii="Times New Roman" w:hAnsi="Times New Roman"/>
                <w:b/>
                <w:bCs/>
              </w:rPr>
              <w:t>)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30421" w:rsidRPr="007510D2" w:rsidRDefault="00730421" w:rsidP="00247F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 listed candidates will be called for interview.</w:t>
            </w:r>
            <w:r w:rsidR="00686FCA">
              <w:rPr>
                <w:rFonts w:ascii="Times New Roman" w:hAnsi="Times New Roman"/>
                <w:bCs/>
              </w:rPr>
              <w:t xml:space="preserve"> List of short-listed candidates will be displayed on </w:t>
            </w:r>
            <w:r w:rsidR="0095744C">
              <w:rPr>
                <w:rFonts w:ascii="Times New Roman" w:hAnsi="Times New Roman"/>
                <w:b/>
              </w:rPr>
              <w:t>1</w:t>
            </w:r>
            <w:r w:rsidR="00247FD8">
              <w:rPr>
                <w:rFonts w:ascii="Times New Roman" w:hAnsi="Times New Roman"/>
                <w:b/>
              </w:rPr>
              <w:t>5</w:t>
            </w:r>
            <w:r w:rsidR="00686FCA" w:rsidRPr="00686FCA">
              <w:rPr>
                <w:rFonts w:ascii="Times New Roman" w:hAnsi="Times New Roman"/>
                <w:b/>
              </w:rPr>
              <w:t>-0</w:t>
            </w:r>
            <w:r w:rsidR="0095744C">
              <w:rPr>
                <w:rFonts w:ascii="Times New Roman" w:hAnsi="Times New Roman"/>
                <w:b/>
              </w:rPr>
              <w:t>2</w:t>
            </w:r>
            <w:r w:rsidR="00686FCA" w:rsidRPr="00686FCA">
              <w:rPr>
                <w:rFonts w:ascii="Times New Roman" w:hAnsi="Times New Roman"/>
                <w:b/>
              </w:rPr>
              <w:t>-20</w:t>
            </w:r>
            <w:r w:rsidR="0095744C">
              <w:rPr>
                <w:rFonts w:ascii="Times New Roman" w:hAnsi="Times New Roman"/>
                <w:b/>
              </w:rPr>
              <w:t>21</w:t>
            </w:r>
            <w:r w:rsidR="00083AF6">
              <w:rPr>
                <w:rFonts w:ascii="Times New Roman" w:hAnsi="Times New Roman"/>
                <w:b/>
              </w:rPr>
              <w:t xml:space="preserve"> (</w:t>
            </w:r>
            <w:r w:rsidR="00247FD8">
              <w:rPr>
                <w:rFonts w:ascii="Times New Roman" w:hAnsi="Times New Roman"/>
                <w:b/>
              </w:rPr>
              <w:t>Monday</w:t>
            </w:r>
            <w:r w:rsidR="00083AF6">
              <w:rPr>
                <w:rFonts w:ascii="Times New Roman" w:hAnsi="Times New Roman"/>
                <w:b/>
              </w:rPr>
              <w:t>).</w:t>
            </w:r>
          </w:p>
          <w:p w:rsidR="007510D2" w:rsidRPr="007510D2" w:rsidRDefault="007510D2" w:rsidP="00247F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95744C">
              <w:rPr>
                <w:rFonts w:ascii="Times New Roman" w:hAnsi="Times New Roman"/>
                <w:b/>
                <w:bCs/>
              </w:rPr>
              <w:t>1</w:t>
            </w:r>
            <w:r w:rsidR="00247FD8">
              <w:rPr>
                <w:rFonts w:ascii="Times New Roman" w:hAnsi="Times New Roman"/>
                <w:b/>
                <w:bCs/>
              </w:rPr>
              <w:t>6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 w:rsidR="0095744C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 w:rsidR="0095744C">
              <w:rPr>
                <w:rFonts w:ascii="Times New Roman" w:hAnsi="Times New Roman"/>
                <w:b/>
                <w:bCs/>
              </w:rPr>
              <w:t>21</w:t>
            </w:r>
            <w:r w:rsidRPr="00E874C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</w:t>
            </w:r>
            <w:r w:rsidR="00247FD8">
              <w:rPr>
                <w:rFonts w:ascii="Times New Roman" w:hAnsi="Times New Roman"/>
                <w:b/>
              </w:rPr>
              <w:t>Tuesday</w:t>
            </w:r>
            <w:r>
              <w:rPr>
                <w:rFonts w:ascii="Times New Roman" w:hAnsi="Times New Roman"/>
                <w:b/>
              </w:rPr>
              <w:t>)</w:t>
            </w:r>
            <w:r w:rsidRPr="008A3498">
              <w:rPr>
                <w:rFonts w:ascii="Times New Roman" w:hAnsi="Times New Roman"/>
                <w:b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>at10:00</w:t>
            </w:r>
            <w:r>
              <w:rPr>
                <w:rFonts w:ascii="Times New Roman" w:hAnsi="Times New Roman"/>
                <w:bCs/>
              </w:rPr>
              <w:t>A.M</w:t>
            </w:r>
            <w:r w:rsidRPr="00E874C2">
              <w:rPr>
                <w:rFonts w:ascii="Times New Roman" w:hAnsi="Times New Roman"/>
                <w:bCs/>
              </w:rPr>
              <w:t xml:space="preserve"> in the office of 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Incharge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Principal</w:t>
            </w:r>
            <w:r w:rsidRPr="00E874C2">
              <w:rPr>
                <w:rFonts w:ascii="Times New Roman" w:hAnsi="Times New Roman"/>
                <w:bCs/>
              </w:rPr>
              <w:t xml:space="preserve">, </w:t>
            </w:r>
            <w:r w:rsidR="00D65C13">
              <w:rPr>
                <w:rFonts w:ascii="Times New Roman" w:hAnsi="Times New Roman"/>
                <w:bCs/>
              </w:rPr>
              <w:t xml:space="preserve">College of </w:t>
            </w:r>
            <w:r>
              <w:rPr>
                <w:rFonts w:ascii="Times New Roman" w:hAnsi="Times New Roman"/>
                <w:bCs/>
              </w:rPr>
              <w:t>Law</w:t>
            </w:r>
            <w:r w:rsidRPr="00E874C2"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Pr="00E874C2">
              <w:rPr>
                <w:rFonts w:ascii="Times New Roman" w:hAnsi="Times New Roman"/>
                <w:bCs/>
              </w:rPr>
              <w:t>University</w:t>
            </w:r>
            <w:proofErr w:type="gramEnd"/>
            <w:r>
              <w:rPr>
                <w:rFonts w:ascii="Times New Roman" w:hAnsi="Times New Roman"/>
                <w:bCs/>
              </w:rPr>
              <w:t xml:space="preserve"> of Sargodha.</w:t>
            </w:r>
          </w:p>
          <w:p w:rsidR="004F6BDC" w:rsidRPr="00E874C2" w:rsidRDefault="004F6BDC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30421" w:rsidRPr="00E874C2" w:rsidRDefault="00730421" w:rsidP="009270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 w:rsidR="00684E10"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 xml:space="preserve">d according to the </w:t>
            </w:r>
            <w:r w:rsidR="00927047">
              <w:rPr>
                <w:rFonts w:ascii="Times New Roman" w:hAnsi="Times New Roman"/>
                <w:bCs/>
              </w:rPr>
              <w:t>availability of Credit Hours</w:t>
            </w:r>
            <w:r w:rsidRPr="00E874C2">
              <w:rPr>
                <w:rFonts w:ascii="Times New Roman" w:hAnsi="Times New Roman"/>
                <w:bCs/>
              </w:rPr>
              <w:t>.</w:t>
            </w:r>
          </w:p>
          <w:p w:rsidR="00730421" w:rsidRPr="00E874C2" w:rsidRDefault="00730421" w:rsidP="00DA1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99599B"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 w:rsidR="0099599B">
              <w:rPr>
                <w:rFonts w:ascii="Times New Roman" w:hAnsi="Times New Roman"/>
                <w:bCs/>
              </w:rPr>
              <w:t>ed</w:t>
            </w:r>
            <w:r w:rsidRPr="00E874C2">
              <w:rPr>
                <w:rFonts w:ascii="Times New Roman" w:hAnsi="Times New Roman"/>
                <w:bCs/>
              </w:rPr>
              <w:t xml:space="preserve"> to </w:t>
            </w:r>
            <w:proofErr w:type="spellStart"/>
            <w:r w:rsidRPr="00E874C2">
              <w:rPr>
                <w:rFonts w:ascii="Times New Roman" w:hAnsi="Times New Roman"/>
                <w:b/>
                <w:bCs/>
              </w:rPr>
              <w:t>Incharge</w:t>
            </w:r>
            <w:proofErr w:type="spellEnd"/>
            <w:r w:rsidR="00DA1638">
              <w:rPr>
                <w:rFonts w:ascii="Times New Roman" w:hAnsi="Times New Roman"/>
                <w:b/>
                <w:bCs/>
              </w:rPr>
              <w:t xml:space="preserve"> Principal</w:t>
            </w:r>
            <w:r w:rsidRPr="00E874C2">
              <w:rPr>
                <w:rFonts w:ascii="Times New Roman" w:hAnsi="Times New Roman"/>
                <w:b/>
                <w:bCs/>
              </w:rPr>
              <w:t xml:space="preserve">, </w:t>
            </w:r>
            <w:r w:rsidR="007D70E8">
              <w:rPr>
                <w:rFonts w:ascii="Times New Roman" w:hAnsi="Times New Roman"/>
                <w:b/>
                <w:bCs/>
              </w:rPr>
              <w:t>College of Law</w:t>
            </w:r>
            <w:r w:rsidRPr="00E874C2">
              <w:rPr>
                <w:rFonts w:ascii="Times New Roman" w:hAnsi="Times New Roman"/>
                <w:b/>
                <w:bCs/>
              </w:rPr>
              <w:t xml:space="preserve">, </w:t>
            </w:r>
            <w:proofErr w:type="gramStart"/>
            <w:r w:rsidRPr="00E874C2">
              <w:rPr>
                <w:rFonts w:ascii="Times New Roman" w:hAnsi="Times New Roman"/>
                <w:b/>
                <w:bCs/>
              </w:rPr>
              <w:t>University</w:t>
            </w:r>
            <w:proofErr w:type="gramEnd"/>
            <w:r w:rsidRPr="00E874C2">
              <w:rPr>
                <w:rFonts w:ascii="Times New Roman" w:hAnsi="Times New Roman"/>
                <w:b/>
                <w:bCs/>
              </w:rPr>
              <w:t xml:space="preserve"> of Sargodha.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</w:tc>
        <w:bookmarkStart w:id="0" w:name="_GoBack"/>
        <w:bookmarkEnd w:id="0"/>
      </w:tr>
    </w:tbl>
    <w:p w:rsidR="00247FD8" w:rsidRPr="00247FD8" w:rsidRDefault="00247FD8" w:rsidP="00791C91">
      <w:pPr>
        <w:spacing w:after="0" w:line="240" w:lineRule="auto"/>
        <w:rPr>
          <w:rFonts w:ascii="Times New Roman" w:hAnsi="Times New Roman"/>
          <w:b/>
          <w:bCs/>
          <w:noProof/>
          <w:sz w:val="14"/>
          <w:szCs w:val="14"/>
        </w:rPr>
      </w:pPr>
    </w:p>
    <w:p w:rsidR="00730421" w:rsidRPr="00791C91" w:rsidRDefault="00791C91" w:rsidP="00791C91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*    </w:t>
      </w:r>
      <w:r w:rsidRPr="00247FD8">
        <w:rPr>
          <w:rFonts w:ascii="Times New Roman" w:hAnsi="Times New Roman"/>
          <w:b/>
          <w:sz w:val="20"/>
          <w:szCs w:val="20"/>
          <w:u w:val="single"/>
        </w:rPr>
        <w:t xml:space="preserve">Number of </w:t>
      </w:r>
      <w:proofErr w:type="gramStart"/>
      <w:r w:rsidRPr="00247FD8">
        <w:rPr>
          <w:rFonts w:ascii="Times New Roman" w:hAnsi="Times New Roman"/>
          <w:b/>
          <w:sz w:val="20"/>
          <w:szCs w:val="20"/>
          <w:u w:val="single"/>
        </w:rPr>
        <w:t xml:space="preserve">Posts  </w:t>
      </w:r>
      <w:r w:rsidR="002A52B3" w:rsidRPr="00247FD8">
        <w:rPr>
          <w:rFonts w:ascii="Times New Roman" w:hAnsi="Times New Roman"/>
          <w:b/>
          <w:sz w:val="20"/>
          <w:szCs w:val="20"/>
          <w:u w:val="single"/>
        </w:rPr>
        <w:t>may</w:t>
      </w:r>
      <w:proofErr w:type="gramEnd"/>
      <w:r w:rsidR="002A52B3" w:rsidRPr="00247FD8">
        <w:rPr>
          <w:rFonts w:ascii="Times New Roman" w:hAnsi="Times New Roman"/>
          <w:b/>
          <w:sz w:val="20"/>
          <w:szCs w:val="20"/>
          <w:u w:val="single"/>
        </w:rPr>
        <w:t xml:space="preserve"> be increased or decreased according to the availibility of Credit Hours</w:t>
      </w:r>
      <w:r w:rsidRPr="00247FD8">
        <w:rPr>
          <w:rFonts w:ascii="Times New Roman" w:hAnsi="Times New Roman"/>
          <w:b/>
          <w:bCs/>
          <w:noProof/>
          <w:sz w:val="26"/>
          <w:szCs w:val="26"/>
        </w:rPr>
        <w:t xml:space="preserve">     </w:t>
      </w:r>
    </w:p>
    <w:p w:rsidR="00730421" w:rsidRDefault="00730421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F13" w:rsidRPr="00E874C2" w:rsidRDefault="00585F13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DEE" w:rsidRPr="00E874C2" w:rsidRDefault="00285DEE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421" w:rsidRPr="00E874C2" w:rsidRDefault="00730421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E874C2">
        <w:rPr>
          <w:rFonts w:ascii="Times New Roman" w:hAnsi="Times New Roman"/>
          <w:sz w:val="20"/>
          <w:szCs w:val="20"/>
        </w:rPr>
        <w:t>Incharge</w:t>
      </w:r>
      <w:proofErr w:type="spellEnd"/>
      <w:r w:rsidR="001A1DD0">
        <w:rPr>
          <w:rFonts w:ascii="Times New Roman" w:hAnsi="Times New Roman"/>
          <w:sz w:val="20"/>
          <w:szCs w:val="20"/>
        </w:rPr>
        <w:t xml:space="preserve"> Principal</w:t>
      </w:r>
    </w:p>
    <w:p w:rsidR="00730421" w:rsidRPr="00E874C2" w:rsidRDefault="00DA1ADB" w:rsidP="00DA1A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College of </w:t>
      </w:r>
      <w:r w:rsidR="001A1DD0">
        <w:rPr>
          <w:rFonts w:ascii="Times New Roman" w:hAnsi="Times New Roman"/>
          <w:sz w:val="20"/>
          <w:szCs w:val="20"/>
        </w:rPr>
        <w:t>Law,</w:t>
      </w:r>
    </w:p>
    <w:p w:rsidR="00730421" w:rsidRPr="00E874C2" w:rsidRDefault="00730421" w:rsidP="00285D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sectPr w:rsidR="00730421" w:rsidRPr="00E874C2" w:rsidSect="00673A92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0421"/>
    <w:rsid w:val="00030C2D"/>
    <w:rsid w:val="00050A47"/>
    <w:rsid w:val="000532FD"/>
    <w:rsid w:val="0007142C"/>
    <w:rsid w:val="00083AF6"/>
    <w:rsid w:val="000D28B3"/>
    <w:rsid w:val="00116F6D"/>
    <w:rsid w:val="0013513A"/>
    <w:rsid w:val="001A1DD0"/>
    <w:rsid w:val="001F2217"/>
    <w:rsid w:val="002011E5"/>
    <w:rsid w:val="00224CAA"/>
    <w:rsid w:val="00236D70"/>
    <w:rsid w:val="00247FD8"/>
    <w:rsid w:val="00261254"/>
    <w:rsid w:val="00285DEE"/>
    <w:rsid w:val="002A52B3"/>
    <w:rsid w:val="002C7275"/>
    <w:rsid w:val="00313E82"/>
    <w:rsid w:val="003B0E33"/>
    <w:rsid w:val="003B2602"/>
    <w:rsid w:val="003F0607"/>
    <w:rsid w:val="00407F01"/>
    <w:rsid w:val="004814EB"/>
    <w:rsid w:val="004C7444"/>
    <w:rsid w:val="004F6BDC"/>
    <w:rsid w:val="00547065"/>
    <w:rsid w:val="0055493E"/>
    <w:rsid w:val="00580A25"/>
    <w:rsid w:val="00585F13"/>
    <w:rsid w:val="005A6E5B"/>
    <w:rsid w:val="005B68BE"/>
    <w:rsid w:val="005F2FA5"/>
    <w:rsid w:val="005F54CF"/>
    <w:rsid w:val="00600545"/>
    <w:rsid w:val="006014CD"/>
    <w:rsid w:val="006235F9"/>
    <w:rsid w:val="006728BE"/>
    <w:rsid w:val="00673A92"/>
    <w:rsid w:val="00684E10"/>
    <w:rsid w:val="00686FCA"/>
    <w:rsid w:val="006D5E7D"/>
    <w:rsid w:val="00712DCD"/>
    <w:rsid w:val="00714CF7"/>
    <w:rsid w:val="00730421"/>
    <w:rsid w:val="007510D2"/>
    <w:rsid w:val="0078390A"/>
    <w:rsid w:val="00791C91"/>
    <w:rsid w:val="007A543E"/>
    <w:rsid w:val="007A79DB"/>
    <w:rsid w:val="007D70E8"/>
    <w:rsid w:val="007F0D6E"/>
    <w:rsid w:val="00825EB0"/>
    <w:rsid w:val="008A3498"/>
    <w:rsid w:val="008B1ACB"/>
    <w:rsid w:val="008C6CBE"/>
    <w:rsid w:val="008F447B"/>
    <w:rsid w:val="00912489"/>
    <w:rsid w:val="00927047"/>
    <w:rsid w:val="00930E3D"/>
    <w:rsid w:val="0095744C"/>
    <w:rsid w:val="0099599B"/>
    <w:rsid w:val="009B32B7"/>
    <w:rsid w:val="009B3BDE"/>
    <w:rsid w:val="00A400AD"/>
    <w:rsid w:val="00A834A6"/>
    <w:rsid w:val="00AB53C7"/>
    <w:rsid w:val="00B26803"/>
    <w:rsid w:val="00B33B12"/>
    <w:rsid w:val="00B9548E"/>
    <w:rsid w:val="00BD4F27"/>
    <w:rsid w:val="00C15D91"/>
    <w:rsid w:val="00C33527"/>
    <w:rsid w:val="00D575B3"/>
    <w:rsid w:val="00D65C13"/>
    <w:rsid w:val="00D67E3F"/>
    <w:rsid w:val="00D92D04"/>
    <w:rsid w:val="00DA1638"/>
    <w:rsid w:val="00DA1ADB"/>
    <w:rsid w:val="00DA3475"/>
    <w:rsid w:val="00DB5F1F"/>
    <w:rsid w:val="00E267F8"/>
    <w:rsid w:val="00E433A6"/>
    <w:rsid w:val="00E73A79"/>
    <w:rsid w:val="00E874C2"/>
    <w:rsid w:val="00E918BA"/>
    <w:rsid w:val="00EA6F5D"/>
    <w:rsid w:val="00EB4FE5"/>
    <w:rsid w:val="00EB6F98"/>
    <w:rsid w:val="00EC57F0"/>
    <w:rsid w:val="00F84C03"/>
    <w:rsid w:val="00FA4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Shahid</cp:lastModifiedBy>
  <cp:revision>44</cp:revision>
  <cp:lastPrinted>2021-02-01T07:27:00Z</cp:lastPrinted>
  <dcterms:created xsi:type="dcterms:W3CDTF">2019-07-30T06:23:00Z</dcterms:created>
  <dcterms:modified xsi:type="dcterms:W3CDTF">2021-02-01T11:26:00Z</dcterms:modified>
</cp:coreProperties>
</file>